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b w:val="1"/>
          <w:color w:val="cc0000"/>
          <w:sz w:val="24"/>
          <w:szCs w:val="24"/>
        </w:rPr>
      </w:pPr>
      <w:r w:rsidDel="00000000" w:rsidR="00000000" w:rsidRPr="00000000">
        <w:rPr>
          <w:b w:val="1"/>
          <w:color w:val="cc0000"/>
          <w:sz w:val="24"/>
          <w:szCs w:val="24"/>
          <w:rtl w:val="0"/>
        </w:rPr>
        <w:t xml:space="preserve">Frank Lloyd Wright </w:t>
      </w:r>
    </w:p>
    <w:p w:rsidR="00000000" w:rsidDel="00000000" w:rsidP="00000000" w:rsidRDefault="00000000" w:rsidRPr="00000000" w14:paraId="00000002">
      <w:pPr>
        <w:rPr>
          <w:b w:val="1"/>
          <w:color w:val="cc0000"/>
          <w:sz w:val="24"/>
          <w:szCs w:val="24"/>
        </w:rPr>
      </w:pPr>
      <w:r w:rsidDel="00000000" w:rsidR="00000000" w:rsidRPr="00000000">
        <w:rPr>
          <w:b w:val="1"/>
          <w:color w:val="cc0000"/>
          <w:sz w:val="24"/>
          <w:szCs w:val="24"/>
          <w:rtl w:val="0"/>
        </w:rPr>
        <w:t xml:space="preserve">(1867-1959)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Movimento Moderno - esponenti nascono lungo anni ‘80 dell’800. Prima metà del novecento divengono pionieri della Modernità. Clima culturale che differenzia attività esponenti ma non segue principi enunciati, manifesto non esiste; esistono al massimo nel ‘900 i congressi del CIAM, unico momento di raccolta e riflessione attorno ad alcuni temi precisi. Non si potrebbe parlare realmente di ‘movimento’ moderno. </w:t>
      </w:r>
    </w:p>
    <w:p w:rsidR="00000000" w:rsidDel="00000000" w:rsidP="00000000" w:rsidRDefault="00000000" w:rsidRPr="00000000" w14:paraId="00000005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Principi della produzione di FLW: architettura organica gli viene attribuita. </w:t>
      </w:r>
    </w:p>
    <w:p w:rsidR="00000000" w:rsidDel="00000000" w:rsidP="00000000" w:rsidRDefault="00000000" w:rsidRPr="00000000" w14:paraId="00000007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Organicismo più articolato, ricalca lo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spirito della filosofia americana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(mito della frontiera, della democrazia, della libertà individuale…). </w:t>
      </w:r>
    </w:p>
    <w:p w:rsidR="00000000" w:rsidDel="00000000" w:rsidP="00000000" w:rsidRDefault="00000000" w:rsidRPr="00000000" w14:paraId="00000008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America è uno stato confederato che ha 100 anni di più dell’Italia come organismo unificato (unità italia solo nel 1861). Walt Whitman, citazione della filosofia americana che (Mel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Dill) espressività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poetiche e letterarie della corrente rappresentata da Emerson e Thoreau: riflessioni sociali, politiche che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rivendicano ideale della libertà americana, della vita selvaggia nei boschi. </w:t>
      </w:r>
    </w:p>
    <w:p w:rsidR="00000000" w:rsidDel="00000000" w:rsidP="00000000" w:rsidRDefault="00000000" w:rsidRPr="00000000" w14:paraId="00000009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Wright ha le sue radici in famiglia di fede unitariana (protestantesimo inglese);</w:t>
      </w:r>
    </w:p>
    <w:p w:rsidR="00000000" w:rsidDel="00000000" w:rsidP="00000000" w:rsidRDefault="00000000" w:rsidRPr="00000000" w14:paraId="0000000B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Sig. Silsby, studio in cui si appropria della tecnica del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balloon frame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e delle tamponature con listelli in legno di acero, seconda la tradizione più tradizionale americana. </w:t>
      </w:r>
    </w:p>
    <w:p w:rsidR="00000000" w:rsidDel="00000000" w:rsidP="00000000" w:rsidRDefault="00000000" w:rsidRPr="00000000" w14:paraId="0000000C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u w:val="single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Ricerca di radici dello spirito americano, con il quale da forma alle sue espressività architettoniche. Sottolinea educazione ricevuta dalla madre (Lloyd), didattica pedagogica della madre che era convinta seguace del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metodo Froebel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pedagogo che avvia alla </w:t>
      </w:r>
      <w:r w:rsidDel="00000000" w:rsidR="00000000" w:rsidRPr="00000000">
        <w:rPr>
          <w:rFonts w:ascii="Nunito" w:cs="Nunito" w:eastAsia="Nunito" w:hAnsi="Nunito"/>
          <w:u w:val="single"/>
          <w:rtl w:val="0"/>
        </w:rPr>
        <w:t xml:space="preserve">percezione dello spazio i fanciulli, attraverso familiarizzazione con forme geometriche euclidee piane; nell’età evolutiva la comprensione della spazialità prosegue con la composizione di solidi in 3 dimensioni, attraverso il gioco delle costruzioni.</w:t>
      </w:r>
      <w:r w:rsidDel="00000000" w:rsidR="00000000" w:rsidRPr="00000000">
        <w:rPr>
          <w:u w:val="single"/>
          <w:rtl w:val="0"/>
        </w:rPr>
        <w:t xml:space="preserve"> </w:t>
      </w:r>
    </w:p>
    <w:p w:rsidR="00000000" w:rsidDel="00000000" w:rsidP="00000000" w:rsidRDefault="00000000" w:rsidRPr="00000000" w14:paraId="0000000E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Abile ed esasperato gioco della spazialità. </w:t>
      </w:r>
    </w:p>
    <w:p w:rsidR="00000000" w:rsidDel="00000000" w:rsidP="00000000" w:rsidRDefault="00000000" w:rsidRPr="00000000" w14:paraId="0000000F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282084</wp:posOffset>
            </wp:positionV>
            <wp:extent cx="2952750" cy="2146839"/>
            <wp:effectExtent b="0" l="0" r="0" t="0"/>
            <wp:wrapSquare wrapText="bothSides" distB="114300" distT="114300" distL="114300" distR="114300"/>
            <wp:docPr id="30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14683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0">
      <w:pPr>
        <w:rPr>
          <w:rFonts w:ascii="Nunito" w:cs="Nunito" w:eastAsia="Nunito" w:hAnsi="Nunito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Willitts</w:t>
      </w: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 House, Highland Park Chicago (1902)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Ispirazione a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modello giapponese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. </w:t>
      </w:r>
    </w:p>
    <w:p w:rsidR="00000000" w:rsidDel="00000000" w:rsidP="00000000" w:rsidRDefault="00000000" w:rsidRPr="00000000" w14:paraId="00000012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Apertura verso pianta che si apre dallo schema scatolare della domus, slittamento pareti leggere che nelle case giapponesi fanno mutare lo spazio lasciando fisso solo l’altare per i riti shintoisti. </w:t>
      </w:r>
    </w:p>
    <w:p w:rsidR="00000000" w:rsidDel="00000000" w:rsidP="00000000" w:rsidRDefault="00000000" w:rsidRPr="00000000" w14:paraId="00000013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Trasposizione idea arredo fisso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(altare giapponese per rito nipponico)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nel camino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simbolo del focolare domestico. </w:t>
      </w:r>
    </w:p>
    <w:p w:rsidR="00000000" w:rsidDel="00000000" w:rsidP="00000000" w:rsidRDefault="00000000" w:rsidRPr="00000000" w14:paraId="00000014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Pianta libera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slittamento pareti divisorie. Liberazione da rigida scatola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ipotatticamente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configurata. </w:t>
      </w:r>
    </w:p>
    <w:p w:rsidR="00000000" w:rsidDel="00000000" w:rsidP="00000000" w:rsidRDefault="00000000" w:rsidRPr="00000000" w14:paraId="00000015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Padiglione giapponese conosciuto da Wright </w:t>
      </w:r>
    </w:p>
    <w:p w:rsidR="00000000" w:rsidDel="00000000" w:rsidP="00000000" w:rsidRDefault="00000000" w:rsidRPr="00000000" w14:paraId="00000016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Forte orizzontalità contrapposta ad assi verticali che scorrono. </w:t>
      </w:r>
    </w:p>
    <w:p w:rsidR="00000000" w:rsidDel="00000000" w:rsidP="00000000" w:rsidRDefault="00000000" w:rsidRPr="00000000" w14:paraId="00000018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Diaframma tra forte freddo inverno e forte caldo umido dell’estate, ombreggiatura delle stanze ritenuta dai critici eccessiva. </w:t>
      </w:r>
    </w:p>
    <w:p w:rsidR="00000000" w:rsidDel="00000000" w:rsidP="00000000" w:rsidRDefault="00000000" w:rsidRPr="00000000" w14:paraId="0000001A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Tetti ribassati usati per accogliere elementi di riscaldamento e di refrigeramento per l’estate umida di chicago. </w:t>
      </w:r>
    </w:p>
    <w:p w:rsidR="00000000" w:rsidDel="00000000" w:rsidP="00000000" w:rsidRDefault="00000000" w:rsidRPr="00000000" w14:paraId="0000001B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Sistemi elettrolitici che passano attraverso vetri, disegnando le geometrie delle case.</w:t>
      </w:r>
    </w:p>
    <w:p w:rsidR="00000000" w:rsidDel="00000000" w:rsidP="00000000" w:rsidRDefault="00000000" w:rsidRPr="00000000" w14:paraId="0000001C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Finestre orizzontali che si aprono a battenti. Diverse altezze in sezione creano punti che articolano poetica compositiva. </w:t>
      </w:r>
    </w:p>
    <w:p w:rsidR="00000000" w:rsidDel="00000000" w:rsidP="00000000" w:rsidRDefault="00000000" w:rsidRPr="00000000" w14:paraId="0000001D">
      <w:pPr>
        <w:numPr>
          <w:ilvl w:val="0"/>
          <w:numId w:val="1"/>
        </w:numPr>
        <w:ind w:left="720" w:hanging="360"/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Slittamento piante</w:t>
      </w:r>
    </w:p>
    <w:p w:rsidR="00000000" w:rsidDel="00000000" w:rsidP="00000000" w:rsidRDefault="00000000" w:rsidRPr="00000000" w14:paraId="0000001E">
      <w:pPr>
        <w:numPr>
          <w:ilvl w:val="0"/>
          <w:numId w:val="1"/>
        </w:numPr>
        <w:ind w:left="720" w:hanging="360"/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Orizzontalità della composizione complessiva della casa</w:t>
      </w:r>
    </w:p>
    <w:p w:rsidR="00000000" w:rsidDel="00000000" w:rsidP="00000000" w:rsidRDefault="00000000" w:rsidRPr="00000000" w14:paraId="0000001F">
      <w:pPr>
        <w:numPr>
          <w:ilvl w:val="0"/>
          <w:numId w:val="1"/>
        </w:numPr>
        <w:ind w:left="720" w:hanging="360"/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volumi che svettano con altezze diverse</w:t>
      </w:r>
    </w:p>
    <w:p w:rsidR="00000000" w:rsidDel="00000000" w:rsidP="00000000" w:rsidRDefault="00000000" w:rsidRPr="00000000" w14:paraId="00000020">
      <w:pPr>
        <w:ind w:left="720" w:firstLine="0"/>
        <w:rPr>
          <w:rFonts w:ascii="Nunito" w:cs="Nunito" w:eastAsia="Nunito" w:hAnsi="Nuni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1910 mostra a Berlino, stimoli da avanguardie del mondo centroeuropeo.</w:t>
      </w:r>
    </w:p>
    <w:p w:rsidR="00000000" w:rsidDel="00000000" w:rsidP="00000000" w:rsidRDefault="00000000" w:rsidRPr="00000000" w14:paraId="00000022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Idea organica dell’architettura estensione autonomia disciplinare a suggestioni filosofiche, naturaliste democratiche, sguardo all’individuo e comunità.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Intreccio sociale, architettonico, naturalistico. Organica a complessità di suggestioni</w:t>
      </w:r>
      <w:r w:rsidDel="00000000" w:rsidR="00000000" w:rsidRPr="00000000">
        <w:rPr>
          <w:rFonts w:ascii="Nunito" w:cs="Nunito" w:eastAsia="Nunito" w:hAnsi="Nunito"/>
          <w:rtl w:val="0"/>
        </w:rPr>
        <w:t xml:space="preserve">; estende il fare architettura a tutta la complessità del fare architettura. Libertà espressiva e sociale,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riproduzione della libertà sociale, filosofica e naturalistica nella sua architettura.</w:t>
      </w:r>
    </w:p>
    <w:p w:rsidR="00000000" w:rsidDel="00000000" w:rsidP="00000000" w:rsidRDefault="00000000" w:rsidRPr="00000000" w14:paraId="00000023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ind w:left="0" w:firstLine="0"/>
        <w:rPr>
          <w:rFonts w:ascii="Nunito" w:cs="Nunito" w:eastAsia="Nunito" w:hAnsi="Nunito"/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4724400</wp:posOffset>
            </wp:positionH>
            <wp:positionV relativeFrom="paragraph">
              <wp:posOffset>180975</wp:posOffset>
            </wp:positionV>
            <wp:extent cx="2000547" cy="1453731"/>
            <wp:effectExtent b="0" l="0" r="0" t="0"/>
            <wp:wrapSquare wrapText="bothSides" distB="114300" distT="114300" distL="114300" distR="114300"/>
            <wp:docPr id="41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0547" cy="145373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5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Robie House, 1907-1909, Woodlawn Avenue, South Side Chicago. </w:t>
      </w:r>
    </w:p>
    <w:p w:rsidR="00000000" w:rsidDel="00000000" w:rsidP="00000000" w:rsidRDefault="00000000" w:rsidRPr="00000000" w14:paraId="00000027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b w:val="1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Residenza privata extraurbana, rivoluzionario modo di abitare nelle praterie americane.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shd w:fill="ffe599" w:val="clear"/>
        </w:rPr>
      </w:pPr>
      <w:r w:rsidDel="00000000" w:rsidR="00000000" w:rsidRPr="00000000">
        <w:rPr>
          <w:b w:val="1"/>
          <w:shd w:fill="ffe599" w:val="clear"/>
          <w:rtl w:val="0"/>
        </w:rPr>
        <w:t xml:space="preserve">Uffici Larkin Company, 1904-06, Buffalo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-495299</wp:posOffset>
            </wp:positionH>
            <wp:positionV relativeFrom="paragraph">
              <wp:posOffset>276225</wp:posOffset>
            </wp:positionV>
            <wp:extent cx="2671763" cy="2051981"/>
            <wp:effectExtent b="0" l="0" r="0" t="0"/>
            <wp:wrapSquare wrapText="bothSides" distB="114300" distT="114300" distL="114300" distR="114300"/>
            <wp:docPr id="1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1763" cy="205198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Fonts w:ascii="Nunito" w:cs="Nunito" w:eastAsia="Nunito" w:hAnsi="Nunito"/>
          <w:rtl w:val="0"/>
        </w:rPr>
        <w:t xml:space="preserve">Invitato a confrontarsi con città si rifiuta di rinunciare alla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libertà espressiva del soggetto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che lui rivendica. Rifiuto vita associata, collettività socialmente e politicamente organizzata che impedisce alla espressività individuale di esprimersi liberamente.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Libertà legata al mito della frontiera del cowboy che supera il confine, si inoltra nella terra selvaggia e vi si insedia liberamente. </w:t>
      </w:r>
    </w:p>
    <w:p w:rsidR="00000000" w:rsidDel="00000000" w:rsidP="00000000" w:rsidRDefault="00000000" w:rsidRPr="00000000" w14:paraId="0000002F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Trova nella natura le leggi spontanee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che, come se architetto dovesse paragonarsi all’alchimista che ricerca intima essenza delle cose, egli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deve poter riprodurre nell’architettura organica</w:t>
      </w:r>
      <w:r w:rsidDel="00000000" w:rsidR="00000000" w:rsidRPr="00000000">
        <w:rPr>
          <w:rFonts w:ascii="Nunito" w:cs="Nunito" w:eastAsia="Nunito" w:hAnsi="Nunito"/>
          <w:rtl w:val="0"/>
        </w:rPr>
        <w:t xml:space="preserve">. Fare proprio principio divino di crescita, cercando di trovare una serie di categorie morali da ‘architettare’ nella propria produzione costruita (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individualismo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americano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morale vista come qualcosa di buono, filosofia vera ed estetica bella). </w:t>
      </w:r>
    </w:p>
    <w:p w:rsidR="00000000" w:rsidDel="00000000" w:rsidP="00000000" w:rsidRDefault="00000000" w:rsidRPr="00000000" w14:paraId="00000031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i w:val="1"/>
          <w:rtl w:val="0"/>
        </w:rPr>
        <w:t xml:space="preserve">In una visione organica, ci sono eccellenti ragioni per cui una cosa sia come è, serva a ciò a cui serve e vada dove sta andando.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Percorso destinato non relativistico ma concettualmente e metafisicamente definito nelle cose, scolpito in esse. </w:t>
      </w:r>
      <w:r w:rsidDel="00000000" w:rsidR="00000000" w:rsidRPr="00000000">
        <w:rPr>
          <w:rFonts w:ascii="Nunito" w:cs="Nunito" w:eastAsia="Nunito" w:hAnsi="Nunito"/>
          <w:b w:val="1"/>
          <w:i w:val="1"/>
          <w:rtl w:val="0"/>
        </w:rPr>
        <w:t xml:space="preserve">La gente stessa partecipa alla realizzazione di una cosa organica</w:t>
      </w:r>
      <w:r w:rsidDel="00000000" w:rsidR="00000000" w:rsidRPr="00000000">
        <w:rPr>
          <w:rFonts w:ascii="Nunito" w:cs="Nunito" w:eastAsia="Nunito" w:hAnsi="Nunito"/>
          <w:i w:val="1"/>
          <w:rtl w:val="0"/>
        </w:rPr>
        <w:t xml:space="preserve"> (democratizzazione dell’operare, tentativo di trovare organicità con aspettative della gente, della libertà indiv. e collettiva) sanno comprenderla e farla propria, unica forma di espressione artistica pensata per una democrazia. </w:t>
      </w:r>
      <w:r w:rsidDel="00000000" w:rsidR="00000000" w:rsidRPr="00000000">
        <w:rPr>
          <w:rFonts w:ascii="Nunito" w:cs="Nunito" w:eastAsia="Nunito" w:hAnsi="Nunito"/>
          <w:b w:val="1"/>
          <w:i w:val="1"/>
          <w:rtl w:val="0"/>
        </w:rPr>
        <w:t xml:space="preserve">Tradurre questi principi in calce e mattoni.</w:t>
      </w:r>
      <w:r w:rsidDel="00000000" w:rsidR="00000000" w:rsidRPr="00000000">
        <w:rPr>
          <w:rFonts w:ascii="Nunito" w:cs="Nunito" w:eastAsia="Nunito" w:hAnsi="Nunito"/>
          <w:i w:val="1"/>
          <w:rtl w:val="0"/>
        </w:rPr>
        <w:t xml:space="preserve">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Architettura democratica che da forma e scopo allo spirito americano. Un’architettura che crea integrazione con società, economia, luogo. </w:t>
      </w:r>
    </w:p>
    <w:p w:rsidR="00000000" w:rsidDel="00000000" w:rsidP="00000000" w:rsidRDefault="00000000" w:rsidRPr="00000000" w14:paraId="00000032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Totalità organica dell’edificio, organica alle funzioni che rappresenta.</w:t>
      </w:r>
    </w:p>
    <w:p w:rsidR="00000000" w:rsidDel="00000000" w:rsidP="00000000" w:rsidRDefault="00000000" w:rsidRPr="00000000" w14:paraId="00000033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Individualismo, libertà, democrazia. La cultura diviene qualcosa con cui costruire un messaggio dopo la fuga. </w:t>
      </w:r>
    </w:p>
    <w:p w:rsidR="00000000" w:rsidDel="00000000" w:rsidP="00000000" w:rsidRDefault="00000000" w:rsidRPr="00000000" w14:paraId="00000034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rFonts w:ascii="Nunito" w:cs="Nunito" w:eastAsia="Nunito" w:hAnsi="Nunito"/>
          <w:b w:val="1"/>
          <w:i w:val="1"/>
        </w:rPr>
      </w:pPr>
      <w:r w:rsidDel="00000000" w:rsidR="00000000" w:rsidRPr="00000000">
        <w:rPr>
          <w:rFonts w:ascii="Nunito" w:cs="Nunito" w:eastAsia="Nunito" w:hAnsi="Nunito"/>
          <w:b w:val="1"/>
          <w:i w:val="1"/>
          <w:rtl w:val="0"/>
        </w:rPr>
        <w:t xml:space="preserve">morale - buono</w:t>
      </w:r>
    </w:p>
    <w:p w:rsidR="00000000" w:rsidDel="00000000" w:rsidP="00000000" w:rsidRDefault="00000000" w:rsidRPr="00000000" w14:paraId="00000036">
      <w:pPr>
        <w:rPr>
          <w:rFonts w:ascii="Nunito" w:cs="Nunito" w:eastAsia="Nunito" w:hAnsi="Nunito"/>
          <w:b w:val="1"/>
          <w:i w:val="1"/>
        </w:rPr>
      </w:pPr>
      <w:r w:rsidDel="00000000" w:rsidR="00000000" w:rsidRPr="00000000">
        <w:rPr>
          <w:rFonts w:ascii="Nunito" w:cs="Nunito" w:eastAsia="Nunito" w:hAnsi="Nunito"/>
          <w:b w:val="1"/>
          <w:i w:val="1"/>
          <w:rtl w:val="0"/>
        </w:rPr>
        <w:t xml:space="preserve">filosofia - vero</w:t>
      </w:r>
    </w:p>
    <w:p w:rsidR="00000000" w:rsidDel="00000000" w:rsidP="00000000" w:rsidRDefault="00000000" w:rsidRPr="00000000" w14:paraId="00000037">
      <w:pPr>
        <w:rPr>
          <w:rFonts w:ascii="Nunito" w:cs="Nunito" w:eastAsia="Nunito" w:hAnsi="Nunito"/>
          <w:b w:val="1"/>
          <w:i w:val="1"/>
        </w:rPr>
      </w:pPr>
      <w:r w:rsidDel="00000000" w:rsidR="00000000" w:rsidRPr="00000000">
        <w:rPr>
          <w:rFonts w:ascii="Nunito" w:cs="Nunito" w:eastAsia="Nunito" w:hAnsi="Nunito"/>
          <w:b w:val="1"/>
          <w:i w:val="1"/>
          <w:rtl w:val="0"/>
        </w:rPr>
        <w:t xml:space="preserve">estetica - bello </w:t>
      </w:r>
    </w:p>
    <w:p w:rsidR="00000000" w:rsidDel="00000000" w:rsidP="00000000" w:rsidRDefault="00000000" w:rsidRPr="00000000" w14:paraId="00000038">
      <w:pPr>
        <w:rPr>
          <w:rFonts w:ascii="Nunito" w:cs="Nunito" w:eastAsia="Nunito" w:hAnsi="Nunito"/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Esposizione Universale di Chicago, Padiglione giapponese. </w:t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2344201" cy="1587739"/>
            <wp:effectExtent b="0" l="0" r="0" t="0"/>
            <wp:wrapSquare wrapText="bothSides" distB="114300" distT="114300" distL="114300" distR="114300"/>
            <wp:docPr id="27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4201" cy="158773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Si ispira al Padiglione giapponese, e dopo viaggi in giappone, realizza l’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Imperial Hotel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realizzato da FLW. Suggestioni estetiche, compositive, naturalistiche. Ricerca di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purezza forma architettonica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data da purezza delle piante, dei piani sovrapposti, dei materiali fusi con artifici costruttivi, elementi decorativi e ornamentali.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1419225</wp:posOffset>
            </wp:positionV>
            <wp:extent cx="3001464" cy="1952625"/>
            <wp:effectExtent b="0" l="0" r="0" t="0"/>
            <wp:wrapSquare wrapText="bothSides" distB="114300" distT="114300" distL="114300" distR="114300"/>
            <wp:docPr id="36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1464" cy="1952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D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rFonts w:ascii="Nunito" w:cs="Nunito" w:eastAsia="Nunito" w:hAnsi="Nunito"/>
          <w:i w:val="1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Aderenza: </w:t>
      </w:r>
      <w:r w:rsidDel="00000000" w:rsidR="00000000" w:rsidRPr="00000000">
        <w:rPr>
          <w:rFonts w:ascii="Nunito" w:cs="Nunito" w:eastAsia="Nunito" w:hAnsi="Nunito"/>
          <w:b w:val="1"/>
          <w:i w:val="1"/>
          <w:rtl w:val="0"/>
        </w:rPr>
        <w:t xml:space="preserve">un artista giapponese coglie forma ricercando la geometria sottesa alla forma</w:t>
      </w:r>
      <w:r w:rsidDel="00000000" w:rsidR="00000000" w:rsidRPr="00000000">
        <w:rPr>
          <w:rFonts w:ascii="Nunito" w:cs="Nunito" w:eastAsia="Nunito" w:hAnsi="Nunito"/>
          <w:i w:val="1"/>
          <w:rtl w:val="0"/>
        </w:rPr>
        <w:t xml:space="preserve">. La geometria da rintracciare alchemicamente dalla forma della natura. Egli conosce per esempio la forma dell'albero di pino, la geometria che sta alla base della forma e che caratterizza il particolare carattere di quel pino.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(</w:t>
      </w:r>
      <w:r w:rsidDel="00000000" w:rsidR="00000000" w:rsidRPr="00000000">
        <w:rPr>
          <w:rFonts w:ascii="Nunito" w:cs="Nunito" w:eastAsia="Nunito" w:hAnsi="Nunito"/>
          <w:u w:val="single"/>
          <w:rtl w:val="0"/>
        </w:rPr>
        <w:t xml:space="preserve">intima geometria ed essenza formale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). </w:t>
      </w:r>
      <w:r w:rsidDel="00000000" w:rsidR="00000000" w:rsidRPr="00000000">
        <w:rPr>
          <w:rFonts w:ascii="Nunito" w:cs="Nunito" w:eastAsia="Nunito" w:hAnsi="Nunito"/>
          <w:i w:val="1"/>
          <w:rtl w:val="0"/>
        </w:rPr>
        <w:t xml:space="preserve">Ciò che Platone appunto chiamava l’idea eterna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(innatismo idee di platone che torna nell'espressività degli architetti che cercano le idee originarie della forma).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Nunito" w:cs="Nunito" w:eastAsia="Nunito" w:hAnsi="Nunito"/>
          <w:i w:val="1"/>
          <w:rtl w:val="0"/>
        </w:rPr>
        <w:t xml:space="preserve">L’invisibile deve diventare visibile.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4467225</wp:posOffset>
            </wp:positionH>
            <wp:positionV relativeFrom="paragraph">
              <wp:posOffset>114300</wp:posOffset>
            </wp:positionV>
            <wp:extent cx="2166938" cy="1533741"/>
            <wp:effectExtent b="0" l="0" r="0" t="0"/>
            <wp:wrapSquare wrapText="bothSides" distB="114300" distT="114300" distL="114300" distR="114300"/>
            <wp:docPr id="1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6938" cy="153374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3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La forma non si cerca ma si trova (Mies). </w:t>
      </w:r>
    </w:p>
    <w:p w:rsidR="00000000" w:rsidDel="00000000" w:rsidP="00000000" w:rsidRDefault="00000000" w:rsidRPr="00000000" w14:paraId="00000045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Ricerca alchemica delle geometrie che sono sottese alla forma.</w:t>
      </w:r>
    </w:p>
    <w:p w:rsidR="00000000" w:rsidDel="00000000" w:rsidP="00000000" w:rsidRDefault="00000000" w:rsidRPr="00000000" w14:paraId="00000046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Restituire naturalità originaria alle forme. </w:t>
      </w:r>
    </w:p>
    <w:p w:rsidR="00000000" w:rsidDel="00000000" w:rsidP="00000000" w:rsidRDefault="00000000" w:rsidRPr="00000000" w14:paraId="00000047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“Volevo risalire ai principi essenziali, la forma pura in ogni cosa, tessere stoffe in muratura con bellissimi disegni, materiali genuini, buone costruzioni e introdurvi la pittura e la scultura, le linee rette, i quadrati, i triangoli e i circoli in cui avevo imparato a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servirmi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con gioia all’asilo.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Le forme, gli effetti primari erano il segreto di tutti gli effetti.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-600074</wp:posOffset>
            </wp:positionH>
            <wp:positionV relativeFrom="paragraph">
              <wp:posOffset>247650</wp:posOffset>
            </wp:positionV>
            <wp:extent cx="2171700" cy="1676680"/>
            <wp:effectExtent b="0" l="0" r="0" t="0"/>
            <wp:wrapSquare wrapText="bothSides" distB="114300" distT="114300" distL="114300" distR="114300"/>
            <wp:docPr id="1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766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9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Purezza dell’origine formale. Linea retta espressione del nuovo principio che la macchina ha prodotto. Fare tesoro delle conquiste tecnologiche, linearità prodotto industriale. Trovare nuova sintesi.</w:t>
      </w:r>
      <w:r w:rsidDel="00000000" w:rsidR="00000000" w:rsidRPr="00000000">
        <w:rPr>
          <w:rFonts w:ascii="Nunito" w:cs="Nunito" w:eastAsia="Nunito" w:hAnsi="Nunito"/>
          <w:u w:val="single"/>
          <w:rtl w:val="0"/>
        </w:rPr>
        <w:t xml:space="preserve"> Calcestruzzo usato sia per sculture che per architettura, cercando unitarietà complessiva di materiali e disciplina</w:t>
      </w:r>
      <w:r w:rsidDel="00000000" w:rsidR="00000000" w:rsidRPr="00000000">
        <w:rPr>
          <w:rFonts w:ascii="Nunito" w:cs="Nunito" w:eastAsia="Nunito" w:hAnsi="Nunito"/>
          <w:rtl w:val="0"/>
        </w:rPr>
        <w:t xml:space="preserve">. Scultura, pittura si intrecciano, sembra non esserci una differenza sostanziale tra questi due elementi. Linee caratterizzano complessità dei volumi e degli arredi.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-161924</wp:posOffset>
            </wp:positionH>
            <wp:positionV relativeFrom="paragraph">
              <wp:posOffset>714375</wp:posOffset>
            </wp:positionV>
            <wp:extent cx="1733378" cy="2115134"/>
            <wp:effectExtent b="0" l="0" r="0" t="0"/>
            <wp:wrapSquare wrapText="bothSides" distB="114300" distT="114300" distL="114300" distR="114300"/>
            <wp:docPr id="34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33378" cy="211513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A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Scuola di Glasgow di Mackintosh.</w:t>
      </w:r>
    </w:p>
    <w:p w:rsidR="00000000" w:rsidDel="00000000" w:rsidP="00000000" w:rsidRDefault="00000000" w:rsidRPr="00000000" w14:paraId="0000004C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Intreccio di cultura gaelica e naturalismo delle forme geometricamente riprodotte. Incrocio tra cultura frontiera e natura  e ricerche decorative e razionaliste che iniziano a diffondersi in europa si influenzano reciprocamente.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4648200</wp:posOffset>
            </wp:positionH>
            <wp:positionV relativeFrom="paragraph">
              <wp:posOffset>887016</wp:posOffset>
            </wp:positionV>
            <wp:extent cx="1733550" cy="1275159"/>
            <wp:effectExtent b="0" l="0" r="0" t="0"/>
            <wp:wrapSquare wrapText="bothSides" distB="114300" distT="114300" distL="114300" distR="114300"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27515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D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Sensibilità per paesi pre-rinascimentali, ritrovare unità naturalistica in forme, materiali e spazialità architettoniche. </w:t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4552030</wp:posOffset>
            </wp:positionH>
            <wp:positionV relativeFrom="paragraph">
              <wp:posOffset>169718</wp:posOffset>
            </wp:positionV>
            <wp:extent cx="1919774" cy="1350638"/>
            <wp:effectExtent b="0" l="0" r="0" t="0"/>
            <wp:wrapSquare wrapText="bothSides" distB="114300" distT="114300" distL="114300" distR="114300"/>
            <wp:docPr id="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9774" cy="13506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Midway Garden, 1913 Chicago. </w:t>
      </w:r>
    </w:p>
    <w:p w:rsidR="00000000" w:rsidDel="00000000" w:rsidP="00000000" w:rsidRDefault="00000000" w:rsidRPr="00000000" w14:paraId="00000055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Linearità, orizzontalità. </w:t>
      </w:r>
    </w:p>
    <w:p w:rsidR="00000000" w:rsidDel="00000000" w:rsidP="00000000" w:rsidRDefault="00000000" w:rsidRPr="00000000" w14:paraId="00000056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Elementi scultorei e di sintesi tra architettura  e scultura ripresa da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secessione viennese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. </w:t>
      </w:r>
    </w:p>
    <w:p w:rsidR="00000000" w:rsidDel="00000000" w:rsidP="00000000" w:rsidRDefault="00000000" w:rsidRPr="00000000" w14:paraId="00000057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Sovrapposizione parte decorativa e costruttiva. Tessiture pareti diverse da purezza delle facciate del palazzo della secessione.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4588656</wp:posOffset>
            </wp:positionH>
            <wp:positionV relativeFrom="paragraph">
              <wp:posOffset>412173</wp:posOffset>
            </wp:positionV>
            <wp:extent cx="2105687" cy="1511289"/>
            <wp:effectExtent b="0" l="0" r="0" t="0"/>
            <wp:wrapSquare wrapText="bothSides" distB="114300" distT="114300" distL="114300" distR="114300"/>
            <wp:docPr id="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5687" cy="151128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8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Cultura storicismo e Sullivan, suggestione formale. </w:t>
      </w:r>
    </w:p>
    <w:p w:rsidR="00000000" w:rsidDel="00000000" w:rsidP="00000000" w:rsidRDefault="00000000" w:rsidRPr="00000000" w14:paraId="00000059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Intreccio di ricerca pittorica, scultorea e architettonica. </w:t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>
          <w:rFonts w:ascii="Nunito" w:cs="Nunito" w:eastAsia="Nunito" w:hAnsi="Nunito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Casa Barnsdall, 1917, Los Angeles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Confronto con contesto e genius loci.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-476249</wp:posOffset>
            </wp:positionH>
            <wp:positionV relativeFrom="paragraph">
              <wp:posOffset>133350</wp:posOffset>
            </wp:positionV>
            <wp:extent cx="2105025" cy="1523787"/>
            <wp:effectExtent b="0" l="0" r="0" t="0"/>
            <wp:wrapSquare wrapText="bothSides" distB="114300" distT="114300" distL="114300" distR="114300"/>
            <wp:docPr id="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52378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0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Casa per scenografa e cantante hollywoodiana, casa per Alina BArnsdall. Complesso residenziale progettato da Wright, concepire trattamento esterno. Progetto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villa naturalistica basati su principi Prairie houses</w:t>
      </w:r>
      <w:r w:rsidDel="00000000" w:rsidR="00000000" w:rsidRPr="00000000">
        <w:rPr>
          <w:rFonts w:ascii="Nunito" w:cs="Nunito" w:eastAsia="Nunito" w:hAnsi="Nunito"/>
          <w:rtl w:val="0"/>
        </w:rPr>
        <w:t xml:space="preserve">. Riflessione accoglie storia e naturalità, suggestione formale del luogo - secondo stadio del progetto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ispirato da architetture indigene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indiane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che alimentavano la zona americana del nuovo continente. Tende degli accampamenti indiani.</w:t>
      </w:r>
    </w:p>
    <w:p w:rsidR="00000000" w:rsidDel="00000000" w:rsidP="00000000" w:rsidRDefault="00000000" w:rsidRPr="00000000" w14:paraId="00000061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numPr>
          <w:ilvl w:val="0"/>
          <w:numId w:val="2"/>
        </w:numPr>
        <w:ind w:left="720" w:hanging="360"/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memoria tende indiane fuse con cultura più messicana e di frontiera. Realizza tipo di architettura vicia alle fazende messicane.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3931695</wp:posOffset>
            </wp:positionH>
            <wp:positionV relativeFrom="paragraph">
              <wp:posOffset>114300</wp:posOffset>
            </wp:positionV>
            <wp:extent cx="2680573" cy="1990123"/>
            <wp:effectExtent b="0" l="0" r="0" t="0"/>
            <wp:wrapSquare wrapText="bothSides" distB="114300" distT="114300" distL="114300" distR="114300"/>
            <wp:docPr id="2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0573" cy="199012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3">
      <w:pPr>
        <w:numPr>
          <w:ilvl w:val="0"/>
          <w:numId w:val="2"/>
        </w:numPr>
        <w:ind w:left="720" w:hanging="360"/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Assi che distribuiscono asimmetria della pianta, logica compositiva dedotta dalle Prairie Houses (case della prateria) che si mischia a suggestioni dedotte da case inca e messicane. </w:t>
      </w:r>
    </w:p>
    <w:p w:rsidR="00000000" w:rsidDel="00000000" w:rsidP="00000000" w:rsidRDefault="00000000" w:rsidRPr="00000000" w14:paraId="00000064">
      <w:pPr>
        <w:numPr>
          <w:ilvl w:val="0"/>
          <w:numId w:val="2"/>
        </w:numPr>
        <w:ind w:left="720" w:hanging="360"/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Pareti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tornano ad essere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bianche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prive di bucature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uniche suggestioni al naturalismo sono decorazioni fatte da ricorso a pietrificazioni floreali. Pietrificazione della malva rose che cresce a Los Angeles e una delle piante preferite dalla scenografa. Pietrificazione e geometrizzazione floreale (processo inverso: geometrizzazione delle forme insite nel fiore della malva rose).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3952576</wp:posOffset>
            </wp:positionH>
            <wp:positionV relativeFrom="paragraph">
              <wp:posOffset>676275</wp:posOffset>
            </wp:positionV>
            <wp:extent cx="2657774" cy="1990725"/>
            <wp:effectExtent b="0" l="0" r="0" t="0"/>
            <wp:wrapSquare wrapText="bothSides" distB="114300" distT="114300" distL="114300" distR="114300"/>
            <wp:docPr id="4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57774" cy="1990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5">
      <w:pPr>
        <w:numPr>
          <w:ilvl w:val="0"/>
          <w:numId w:val="2"/>
        </w:numPr>
        <w:ind w:left="720" w:hanging="360"/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Interno: fa entrare nel salone l’acqua che all’esterno della villa forma uno specchio di acqua. </w:t>
      </w:r>
    </w:p>
    <w:p w:rsidR="00000000" w:rsidDel="00000000" w:rsidP="00000000" w:rsidRDefault="00000000" w:rsidRPr="00000000" w14:paraId="00000066">
      <w:pPr>
        <w:numPr>
          <w:ilvl w:val="0"/>
          <w:numId w:val="2"/>
        </w:numPr>
        <w:ind w:left="720" w:hanging="360"/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Esterno: spazio teatrale tipica memoria dell’attività della committente. </w:t>
      </w:r>
    </w:p>
    <w:p w:rsidR="00000000" w:rsidDel="00000000" w:rsidP="00000000" w:rsidRDefault="00000000" w:rsidRPr="00000000" w14:paraId="00000067">
      <w:pPr>
        <w:numPr>
          <w:ilvl w:val="0"/>
          <w:numId w:val="2"/>
        </w:numPr>
        <w:ind w:left="720" w:hanging="360"/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Ricerca tessiture murarie. </w:t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/>
        <w:drawing>
          <wp:inline distB="114300" distT="114300" distL="114300" distR="114300">
            <wp:extent cx="1826944" cy="1259962"/>
            <wp:effectExtent b="0" l="0" r="0" t="0"/>
            <wp:docPr id="1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6944" cy="12599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Casa Millard, </w:t>
      </w:r>
    </w:p>
    <w:p w:rsidR="00000000" w:rsidDel="00000000" w:rsidP="00000000" w:rsidRDefault="00000000" w:rsidRPr="00000000" w14:paraId="0000006D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Slittamenti volumi delle piante.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123825</wp:posOffset>
            </wp:positionV>
            <wp:extent cx="2181225" cy="1454150"/>
            <wp:effectExtent b="0" l="0" r="0" t="0"/>
            <wp:wrapSquare wrapText="bothSides" distB="114300" distT="114300" distL="114300" distR="114300"/>
            <wp:docPr id="12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454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E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u w:val="single"/>
          <w:rtl w:val="0"/>
        </w:rPr>
        <w:t xml:space="preserve">Sperimenta sogno di rendere con calce e mattoni elementi naturalistici, pareti divengono tessitura.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Sistema di pareti creato con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textile block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elementi preformati in blocchi stampati che assumono forme geometricamente articolate, creano tamponamento e intercapedine muraria che preserva l'ambiente interno dagli sbalzi termici.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1428750</wp:posOffset>
            </wp:positionV>
            <wp:extent cx="2182248" cy="1634874"/>
            <wp:effectExtent b="0" l="0" r="0" t="0"/>
            <wp:wrapSquare wrapText="bothSides" distB="114300" distT="114300" distL="114300" distR="114300"/>
            <wp:docPr id="22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82248" cy="163487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F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Tondini di ferro inseriti nelle scanalature del blocco. </w:t>
      </w:r>
    </w:p>
    <w:p w:rsidR="00000000" w:rsidDel="00000000" w:rsidP="00000000" w:rsidRDefault="00000000" w:rsidRPr="00000000" w14:paraId="00000070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Tessitura delle pareti che nasce dalle suggestioni delle decorazioni del luogo (inca- messicano). </w:t>
      </w:r>
    </w:p>
    <w:p w:rsidR="00000000" w:rsidDel="00000000" w:rsidP="00000000" w:rsidRDefault="00000000" w:rsidRPr="00000000" w14:paraId="00000071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Casa Ennis a Los Angeles</w:t>
      </w:r>
    </w:p>
    <w:p w:rsidR="00000000" w:rsidDel="00000000" w:rsidP="00000000" w:rsidRDefault="00000000" w:rsidRPr="00000000" w14:paraId="00000078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Logica strutturale in cemento rivestite da pannelli prefabbricati. Pannelli in cui materia cementizia viene impastata con sabbia desertica che circonda il sito.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1752600</wp:posOffset>
            </wp:positionH>
            <wp:positionV relativeFrom="paragraph">
              <wp:posOffset>266700</wp:posOffset>
            </wp:positionV>
            <wp:extent cx="1206846" cy="1819275"/>
            <wp:effectExtent b="0" l="0" r="0" t="0"/>
            <wp:wrapSquare wrapText="bothSides" distB="114300" distT="114300" distL="114300" distR="114300"/>
            <wp:docPr id="28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6846" cy="1819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-981074</wp:posOffset>
            </wp:positionH>
            <wp:positionV relativeFrom="paragraph">
              <wp:posOffset>271404</wp:posOffset>
            </wp:positionV>
            <wp:extent cx="2733761" cy="1815443"/>
            <wp:effectExtent b="0" l="0" r="0" t="0"/>
            <wp:wrapSquare wrapText="bothSides" distB="114300" distT="114300" distL="114300" distR="114300"/>
            <wp:docPr id="38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3761" cy="181544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9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Texture block, blocchi prefabbricati e montati a formare pannelli, tondini di ferro che legano pannelli che hanno sistema a incastro maschio-femmina. </w:t>
      </w:r>
    </w:p>
    <w:p w:rsidR="00000000" w:rsidDel="00000000" w:rsidP="00000000" w:rsidRDefault="00000000" w:rsidRPr="00000000" w14:paraId="0000007B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Honeycomb, Hanna House.</w:t>
      </w:r>
    </w:p>
    <w:p w:rsidR="00000000" w:rsidDel="00000000" w:rsidP="00000000" w:rsidRDefault="00000000" w:rsidRPr="00000000" w14:paraId="0000007C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</w:rPr>
        <w:drawing>
          <wp:inline distB="114300" distT="114300" distL="114300" distR="114300">
            <wp:extent cx="3681413" cy="2172637"/>
            <wp:effectExtent b="0" l="0" r="0" t="0"/>
            <wp:docPr id="37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81413" cy="21726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Elaborazione sistemi della pianta giocata sul sistema dell’esagono. </w:t>
      </w:r>
    </w:p>
    <w:p w:rsidR="00000000" w:rsidDel="00000000" w:rsidP="00000000" w:rsidRDefault="00000000" w:rsidRPr="00000000" w14:paraId="0000007F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Pianta elaborata con concezioni libere. </w:t>
      </w:r>
    </w:p>
    <w:p w:rsidR="00000000" w:rsidDel="00000000" w:rsidP="00000000" w:rsidRDefault="00000000" w:rsidRPr="00000000" w14:paraId="00000080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Leigh Stevens House</w:t>
      </w:r>
    </w:p>
    <w:p w:rsidR="00000000" w:rsidDel="00000000" w:rsidP="00000000" w:rsidRDefault="00000000" w:rsidRPr="00000000" w14:paraId="00000083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Disegno degli arredi. </w:t>
      </w:r>
    </w:p>
    <w:p w:rsidR="00000000" w:rsidDel="00000000" w:rsidP="00000000" w:rsidRDefault="00000000" w:rsidRPr="00000000" w14:paraId="00000084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William Palmer house, Ann Arbor, Michigan, 1950</w:t>
      </w:r>
    </w:p>
    <w:p w:rsidR="00000000" w:rsidDel="00000000" w:rsidP="00000000" w:rsidRDefault="00000000" w:rsidRPr="00000000" w14:paraId="00000086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</w:rPr>
        <w:drawing>
          <wp:inline distB="114300" distT="114300" distL="114300" distR="114300">
            <wp:extent cx="5731200" cy="2501900"/>
            <wp:effectExtent b="0" l="0" r="0" t="0"/>
            <wp:docPr id="39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01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Geometrie piane diventano le suggestioni geometriche piane per lo sviluppo delle planimetrie di queste residenze. </w:t>
      </w:r>
    </w:p>
    <w:p w:rsidR="00000000" w:rsidDel="00000000" w:rsidP="00000000" w:rsidRDefault="00000000" w:rsidRPr="00000000" w14:paraId="00000088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Jester House Palos Verde, 1932-72</w:t>
      </w:r>
    </w:p>
    <w:p w:rsidR="00000000" w:rsidDel="00000000" w:rsidP="00000000" w:rsidRDefault="00000000" w:rsidRPr="00000000" w14:paraId="0000008F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</w:rPr>
        <w:drawing>
          <wp:inline distB="114300" distT="114300" distL="114300" distR="114300">
            <wp:extent cx="3294162" cy="2509838"/>
            <wp:effectExtent b="0" l="0" r="0" t="0"/>
            <wp:docPr id="3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94162" cy="2509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>
          <w:b w:val="1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Pianta giocata sull’intreccio del cerchio.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Casa Jacobs Solar Hemicycle.</w:t>
      </w:r>
    </w:p>
    <w:p w:rsidR="00000000" w:rsidDel="00000000" w:rsidP="00000000" w:rsidRDefault="00000000" w:rsidRPr="00000000" w14:paraId="00000094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</w:rPr>
        <w:drawing>
          <wp:inline distB="114300" distT="114300" distL="114300" distR="114300">
            <wp:extent cx="3786188" cy="1957388"/>
            <wp:effectExtent b="0" l="0" r="0" t="0"/>
            <wp:docPr id="2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86188" cy="1957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Esterno: organicismo non è scimmiottare orografia e materiali del luogo. </w:t>
      </w:r>
    </w:p>
    <w:p w:rsidR="00000000" w:rsidDel="00000000" w:rsidP="00000000" w:rsidRDefault="00000000" w:rsidRPr="00000000" w14:paraId="00000096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Idea alchemica dell’organicismo</w:t>
      </w:r>
    </w:p>
    <w:p w:rsidR="00000000" w:rsidDel="00000000" w:rsidP="00000000" w:rsidRDefault="00000000" w:rsidRPr="00000000" w14:paraId="00000097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4720936</wp:posOffset>
            </wp:positionH>
            <wp:positionV relativeFrom="page">
              <wp:posOffset>1610622</wp:posOffset>
            </wp:positionV>
            <wp:extent cx="2397295" cy="1863773"/>
            <wp:effectExtent b="0" l="0" r="0" t="0"/>
            <wp:wrapSquare wrapText="bothSides" distB="114300" distT="114300" distL="114300" distR="114300"/>
            <wp:docPr id="35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97295" cy="186377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>
          <w:rFonts w:ascii="Nunito" w:cs="Nunito" w:eastAsia="Nunito" w:hAnsi="Nunito"/>
          <w:b w:val="1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hd w:fill="ffe599" w:val="clear"/>
          <w:rtl w:val="0"/>
        </w:rPr>
        <w:t xml:space="preserve">Taliesin West, Scottsdale Arizona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314617</wp:posOffset>
            </wp:positionV>
            <wp:extent cx="2200275" cy="1704975"/>
            <wp:effectExtent b="0" l="0" r="0" t="0"/>
            <wp:wrapSquare wrapText="bothSides" distB="114300" distT="114300" distL="114300" distR="114300"/>
            <wp:docPr id="40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30"/>
                    <a:srcRect b="26248" l="4983" r="56644" t="20916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7049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9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Scuola di architettura realizzata da Wright, comunità educativa e sociale che ricalca la geometrizzazione finale attraverso uso dei materiali locali, geometrizzazione derivate da osservazione forme della natura.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Simbiosi tra elementi naturalistici del luogo e geometrizzazione degli elementi stessi. </w:t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Pauson House, Phoenix, Arizona. </w:t>
      </w:r>
    </w:p>
    <w:p w:rsidR="00000000" w:rsidDel="00000000" w:rsidP="00000000" w:rsidRDefault="00000000" w:rsidRPr="00000000" w14:paraId="000000A0">
      <w:pPr>
        <w:rPr>
          <w:rFonts w:ascii="Nunito" w:cs="Nunito" w:eastAsia="Nunito" w:hAnsi="Nunito"/>
          <w:b w:val="1"/>
        </w:rPr>
      </w:pPr>
      <w:hyperlink r:id="rId31">
        <w:r w:rsidDel="00000000" w:rsidR="00000000" w:rsidRPr="00000000">
          <w:rPr>
            <w:rFonts w:ascii="Nunito" w:cs="Nunito" w:eastAsia="Nunito" w:hAnsi="Nunito"/>
            <w:b w:val="1"/>
            <w:color w:val="1155cc"/>
            <w:u w:val="single"/>
            <w:rtl w:val="0"/>
          </w:rPr>
          <w:t xml:space="preserve">http://architectuul.com/architecture/rose-pauson-house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4876800" cy="3667125"/>
            <wp:effectExtent b="0" l="0" r="0" t="0"/>
            <wp:docPr id="25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67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>
          <w:rFonts w:ascii="Nunito" w:cs="Nunito" w:eastAsia="Nunito" w:hAnsi="Nunito"/>
          <w:b w:val="1"/>
          <w:sz w:val="24"/>
          <w:szCs w:val="24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z w:val="24"/>
          <w:szCs w:val="24"/>
          <w:shd w:fill="ffe599" w:val="clear"/>
          <w:rtl w:val="0"/>
        </w:rPr>
        <w:t xml:space="preserve">Casa sulla cascata, 1936-39, Pennsylvania </w:t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/>
        <w:drawing>
          <wp:inline distB="114300" distT="114300" distL="114300" distR="114300">
            <wp:extent cx="3710955" cy="2769826"/>
            <wp:effectExtent b="0" l="0" r="0" t="0"/>
            <wp:docPr id="33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10955" cy="27698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Riuso di materiali estratti dal sistema roccioso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usa gli aceri di questo inquadramento naturalistico per gli infissi lignei. </w:t>
      </w:r>
    </w:p>
    <w:p w:rsidR="00000000" w:rsidDel="00000000" w:rsidP="00000000" w:rsidRDefault="00000000" w:rsidRPr="00000000" w14:paraId="000000A8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Orizzontalità, slittamento dei piani, forti aggetti. </w:t>
      </w:r>
    </w:p>
    <w:p w:rsidR="00000000" w:rsidDel="00000000" w:rsidP="00000000" w:rsidRDefault="00000000" w:rsidRPr="00000000" w14:paraId="000000A9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Elementi strutturali in cemento, intelaiatura puntiforme che consente questo slittamento. </w:t>
      </w:r>
    </w:p>
    <w:p w:rsidR="00000000" w:rsidDel="00000000" w:rsidP="00000000" w:rsidRDefault="00000000" w:rsidRPr="00000000" w14:paraId="000000AB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Casa radicata nel paesaggio. </w:t>
      </w:r>
    </w:p>
    <w:p w:rsidR="00000000" w:rsidDel="00000000" w:rsidP="00000000" w:rsidRDefault="00000000" w:rsidRPr="00000000" w14:paraId="000000AC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Elementi a sbalzo che creano orizzontalità aggettanti,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piani che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geometrizzano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la naturalità del paesaggio in forme purificate.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Sostegno a intercapedine in cui passano tubazioni che riscaldano pavimento.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3933825</wp:posOffset>
            </wp:positionH>
            <wp:positionV relativeFrom="paragraph">
              <wp:posOffset>724251</wp:posOffset>
            </wp:positionV>
            <wp:extent cx="2714434" cy="1967438"/>
            <wp:effectExtent b="0" l="0" r="0" t="0"/>
            <wp:wrapSquare wrapText="bothSides" distB="114300" distT="114300" distL="114300" distR="114300"/>
            <wp:docPr id="26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4434" cy="19674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D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Centine che sostengono aggetto di questi balconi che, grazie a rinforzo delle spallette, hanno sistema autoportante. </w:t>
      </w:r>
    </w:p>
    <w:p w:rsidR="00000000" w:rsidDel="00000000" w:rsidP="00000000" w:rsidRDefault="00000000" w:rsidRPr="00000000" w14:paraId="000000AE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La materia acquista, nella progettazione, una sua ragione d’essere. </w:t>
      </w:r>
    </w:p>
    <w:p w:rsidR="00000000" w:rsidDel="00000000" w:rsidP="00000000" w:rsidRDefault="00000000" w:rsidRPr="00000000" w14:paraId="000000AF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Dare forma alla materia</w:t>
      </w:r>
      <w:r w:rsidDel="00000000" w:rsidR="00000000" w:rsidRPr="00000000">
        <w:rPr>
          <w:rFonts w:ascii="Nunito" w:cs="Nunito" w:eastAsia="Nunito" w:hAnsi="Nunito"/>
          <w:rtl w:val="0"/>
        </w:rPr>
        <w:t xml:space="preserve">. </w:t>
      </w:r>
    </w:p>
    <w:p w:rsidR="00000000" w:rsidDel="00000000" w:rsidP="00000000" w:rsidRDefault="00000000" w:rsidRPr="00000000" w14:paraId="000000B0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Ripiega parapetti di questi balconi, che rafforzano la struttura dell’aggetto. Doppia soletta che crea sotto intercapedine.</w:t>
      </w:r>
    </w:p>
    <w:p w:rsidR="00000000" w:rsidDel="00000000" w:rsidP="00000000" w:rsidRDefault="00000000" w:rsidRPr="00000000" w14:paraId="000000B1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Interno: pietra levigata portata all’interno, camino focolare domestico inserito nel momento vitale del risiedere. Anche all’interno tutto viene disegnato da Wright.</w:t>
      </w:r>
    </w:p>
    <w:p w:rsidR="00000000" w:rsidDel="00000000" w:rsidP="00000000" w:rsidRDefault="00000000" w:rsidRPr="00000000" w14:paraId="000000B3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>
          <w:rFonts w:ascii="Nunito" w:cs="Nunito" w:eastAsia="Nunito" w:hAnsi="Nunito"/>
          <w:b w:val="1"/>
          <w:sz w:val="24"/>
          <w:szCs w:val="24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z w:val="24"/>
          <w:szCs w:val="24"/>
          <w:shd w:fill="ffe599" w:val="clear"/>
          <w:rtl w:val="0"/>
        </w:rPr>
        <w:t xml:space="preserve">Sviluppo residenziale realizzato per la Johnson &amp; Johnson.</w:t>
      </w:r>
    </w:p>
    <w:p w:rsidR="00000000" w:rsidDel="00000000" w:rsidP="00000000" w:rsidRDefault="00000000" w:rsidRPr="00000000" w14:paraId="000000B5">
      <w:pPr>
        <w:rPr>
          <w:rFonts w:ascii="Nunito" w:cs="Nunito" w:eastAsia="Nunito" w:hAnsi="Nunito"/>
          <w:sz w:val="12"/>
          <w:szCs w:val="12"/>
        </w:rPr>
      </w:pPr>
      <w:hyperlink r:id="rId35">
        <w:r w:rsidDel="00000000" w:rsidR="00000000" w:rsidRPr="00000000">
          <w:rPr>
            <w:rFonts w:ascii="Nunito" w:cs="Nunito" w:eastAsia="Nunito" w:hAnsi="Nunito"/>
            <w:color w:val="1155cc"/>
            <w:sz w:val="18"/>
            <w:szCs w:val="18"/>
            <w:rtl w:val="0"/>
          </w:rPr>
          <w:t xml:space="preserve">https://www.scjohnson.com/it-it/a-family-company/architecture-and-tours/frank-lloyd-wright/in-sc-johnsons-frank-lloyd-wright-designed-research-tower-architecture-meets-science 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</w:rPr>
        <w:drawing>
          <wp:inline distB="114300" distT="114300" distL="114300" distR="114300">
            <wp:extent cx="4052888" cy="3251735"/>
            <wp:effectExtent b="0" l="0" r="0" t="0"/>
            <wp:docPr id="13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52888" cy="32517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Wright chiude edificio all’esterno e lascia all’interno la vita associata di questa sede amministrativa. Complesso di rappresentanza e produttivo. </w:t>
      </w:r>
    </w:p>
    <w:p w:rsidR="00000000" w:rsidDel="00000000" w:rsidP="00000000" w:rsidRDefault="00000000" w:rsidRPr="00000000" w14:paraId="000000B8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All’esterno non ci sono bucature,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la luce è presa solo dal solaio</w:t>
      </w:r>
      <w:r w:rsidDel="00000000" w:rsidR="00000000" w:rsidRPr="00000000">
        <w:rPr>
          <w:rFonts w:ascii="Nunito" w:cs="Nunito" w:eastAsia="Nunito" w:hAnsi="Nunito"/>
          <w:rtl w:val="0"/>
        </w:rPr>
        <w:t xml:space="preserve">. </w:t>
      </w:r>
    </w:p>
    <w:p w:rsidR="00000000" w:rsidDel="00000000" w:rsidP="00000000" w:rsidRDefault="00000000" w:rsidRPr="00000000" w14:paraId="000000B9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Lama di luce tra pareti e solaio. </w:t>
      </w:r>
    </w:p>
    <w:p w:rsidR="00000000" w:rsidDel="00000000" w:rsidP="00000000" w:rsidRDefault="00000000" w:rsidRPr="00000000" w14:paraId="000000BA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Orizzontalità messa in risalto da ricorso a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tamponature in laterizio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con linee orizzontali messe in risalto da pennellatura dei ricorsi verticali che vengono nascosti</w:t>
      </w:r>
    </w:p>
    <w:p w:rsidR="00000000" w:rsidDel="00000000" w:rsidP="00000000" w:rsidRDefault="00000000" w:rsidRPr="00000000" w14:paraId="000000BC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Interno: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 open space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suggestione da piante che galleggiano negli spechi di acqua. Copertura sostenuta da sostegni con zoccolatura di ancoraggio al pavimento&gt;: stelo rastremato - pilastro cavo in cui viene sbruffata della calce su cui poggia lastra - mensola circolare. Superare vincoli del regolamento edilizio (per sostenere solaio così, pilastri di dimensioni maggiori non gli avrebbero permesso di realizzare un open space). </w:t>
      </w:r>
    </w:p>
    <w:p w:rsidR="00000000" w:rsidDel="00000000" w:rsidP="00000000" w:rsidRDefault="00000000" w:rsidRPr="00000000" w14:paraId="000000BD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3676650</wp:posOffset>
            </wp:positionH>
            <wp:positionV relativeFrom="paragraph">
              <wp:posOffset>180683</wp:posOffset>
            </wp:positionV>
            <wp:extent cx="2986050" cy="1681513"/>
            <wp:effectExtent b="0" l="0" r="0" t="0"/>
            <wp:wrapSquare wrapText="bothSides" distB="114300" distT="114300" distL="114300" distR="114300"/>
            <wp:docPr id="1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6050" cy="16815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E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Zoccolo di base con nervature, base alta 17.5 cm. </w:t>
      </w:r>
    </w:p>
    <w:p w:rsidR="00000000" w:rsidDel="00000000" w:rsidP="00000000" w:rsidRDefault="00000000" w:rsidRPr="00000000" w14:paraId="000000BF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Stelo cavo che si va a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rastremare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 verso l’alto. </w:t>
      </w:r>
    </w:p>
    <w:p w:rsidR="00000000" w:rsidDel="00000000" w:rsidP="00000000" w:rsidRDefault="00000000" w:rsidRPr="00000000" w14:paraId="000000C0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Petalo di diametro 5.80 metri, collegato con quelli adiacenti. </w:t>
      </w:r>
    </w:p>
    <w:p w:rsidR="00000000" w:rsidDel="00000000" w:rsidP="00000000" w:rsidRDefault="00000000" w:rsidRPr="00000000" w14:paraId="000000C1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Cemento vibrato su gabbia ?</w:t>
      </w:r>
    </w:p>
    <w:p w:rsidR="00000000" w:rsidDel="00000000" w:rsidP="00000000" w:rsidRDefault="00000000" w:rsidRPr="00000000" w14:paraId="000000C2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Pirex, materiale che da forma vibrata e trasparenza luminosa alle coperture.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3676650</wp:posOffset>
            </wp:positionH>
            <wp:positionV relativeFrom="paragraph">
              <wp:posOffset>485775</wp:posOffset>
            </wp:positionV>
            <wp:extent cx="2981325" cy="4465644"/>
            <wp:effectExtent b="0" l="0" r="0" t="0"/>
            <wp:wrapSquare wrapText="bothSides" distB="114300" distT="114300" distL="114300" distR="114300"/>
            <wp:docPr id="9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446564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4">
      <w:pPr>
        <w:shd w:fill="ffffff" w:val="clear"/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</w:rPr>
        <w:drawing>
          <wp:inline distB="114300" distT="114300" distL="114300" distR="114300">
            <wp:extent cx="3481388" cy="1960449"/>
            <wp:effectExtent b="0" l="0" r="0" t="0"/>
            <wp:docPr descr="Le finestre in tubi di vetro ideate da Frank Lloyd Wright" id="24" name="image38.jpg"/>
            <a:graphic>
              <a:graphicData uri="http://schemas.openxmlformats.org/drawingml/2006/picture">
                <pic:pic>
                  <pic:nvPicPr>
                    <pic:cNvPr descr="Le finestre in tubi di vetro ideate da Frank Lloyd Wright" id="0" name="image38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81388" cy="19604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hd w:fill="ffffff" w:val="clear"/>
        <w:spacing w:line="376.8" w:lineRule="auto"/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sz w:val="21"/>
          <w:szCs w:val="21"/>
          <w:rtl w:val="0"/>
        </w:rPr>
        <w:t xml:space="preserve">Wright progettò le “finestre” in tubi di vetro dell’edificio per rifrangere la luce e ridurre l’abbagliamento.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Negli anni 50 crea invenzione tipologia di alternanza tra vetro e laterizio, torre dei laboratori. Tronco dell’albero da cui svettano i rami-piani in aggetto. Ammorsati all’anima strutturale centrale. </w:t>
      </w:r>
    </w:p>
    <w:p w:rsidR="00000000" w:rsidDel="00000000" w:rsidP="00000000" w:rsidRDefault="00000000" w:rsidRPr="00000000" w14:paraId="000000C7">
      <w:pPr>
        <w:rPr>
          <w:rFonts w:ascii="Nunito" w:cs="Nunito" w:eastAsia="Nunito" w:hAnsi="Nunito"/>
          <w:b w:val="1"/>
        </w:rPr>
      </w:pPr>
      <w:r w:rsidDel="00000000" w:rsidR="00000000" w:rsidRPr="00000000">
        <w:rPr>
          <w:rFonts w:ascii="Nunito" w:cs="Nunito" w:eastAsia="Nunito" w:hAnsi="Nunito"/>
          <w:b w:val="1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5029200</wp:posOffset>
            </wp:positionH>
            <wp:positionV relativeFrom="page">
              <wp:posOffset>9001943</wp:posOffset>
            </wp:positionV>
            <wp:extent cx="2100263" cy="1564025"/>
            <wp:effectExtent b="0" l="0" r="0" t="0"/>
            <wp:wrapSquare wrapText="bothSides" distB="114300" distT="114300" distL="114300" distR="114300"/>
            <wp:docPr id="1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0263" cy="1564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Nunito" w:cs="Nunito" w:eastAsia="Nunito" w:hAnsi="Nunito"/>
          <w:b w:val="1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660126</wp:posOffset>
            </wp:positionH>
            <wp:positionV relativeFrom="page">
              <wp:posOffset>8205788</wp:posOffset>
            </wp:positionV>
            <wp:extent cx="3754711" cy="2772073"/>
            <wp:effectExtent b="0" l="0" r="0" t="0"/>
            <wp:wrapSquare wrapText="bothSides" distB="114300" distT="114300" distL="114300" distR="11430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54711" cy="277207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>
          <w:shd w:fill="ffe599" w:val="clear"/>
        </w:rPr>
      </w:pPr>
      <w:r w:rsidDel="00000000" w:rsidR="00000000" w:rsidRPr="00000000">
        <w:rPr>
          <w:b w:val="1"/>
          <w:shd w:fill="ffe599" w:val="clear"/>
          <w:rtl w:val="0"/>
        </w:rPr>
        <w:t xml:space="preserve">Price Company Tower</w:t>
      </w:r>
      <w:r w:rsidDel="00000000" w:rsidR="00000000" w:rsidRPr="00000000">
        <w:rPr>
          <w:shd w:fill="ffe599" w:val="clear"/>
          <w:rtl w:val="0"/>
        </w:rPr>
        <w:t xml:space="preserve">.</w:t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1670804" cy="2623318"/>
            <wp:effectExtent b="0" l="0" r="0" t="0"/>
            <wp:docPr id="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70804" cy="26233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>
          <w:rtl w:val="0"/>
        </w:rPr>
        <w:t xml:space="preserve">Liberazione da visione stereometrica dei grattacieli in ferro e vetro. </w:t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>
          <w:b w:val="1"/>
          <w:shd w:fill="ffe599" w:val="clear"/>
        </w:rPr>
      </w:pPr>
      <w:r w:rsidDel="00000000" w:rsidR="00000000" w:rsidRPr="00000000">
        <w:rPr>
          <w:b w:val="1"/>
          <w:shd w:fill="ffe599" w:val="clear"/>
          <w:rtl w:val="0"/>
        </w:rPr>
        <w:t xml:space="preserve">One mile high 1956.</w:t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/>
        <w:drawing>
          <wp:inline distB="114300" distT="114300" distL="114300" distR="114300">
            <wp:extent cx="1940084" cy="2593428"/>
            <wp:effectExtent b="0" l="0" r="0" t="0"/>
            <wp:docPr id="31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40084" cy="25934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1539002" cy="2626440"/>
            <wp:effectExtent b="0" l="0" r="0" t="0"/>
            <wp:docPr id="1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39002" cy="2626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rPr/>
      </w:pPr>
      <w:r w:rsidDel="00000000" w:rsidR="00000000" w:rsidRPr="00000000">
        <w:rPr>
          <w:rtl w:val="0"/>
        </w:rPr>
        <w:t xml:space="preserve">Sfalzamenti</w:t>
      </w:r>
      <w:r w:rsidDel="00000000" w:rsidR="00000000" w:rsidRPr="00000000">
        <w:rPr>
          <w:rtl w:val="0"/>
        </w:rPr>
        <w:t xml:space="preserve"> lama di cristallo. </w:t>
      </w:r>
    </w:p>
    <w:p w:rsidR="00000000" w:rsidDel="00000000" w:rsidP="00000000" w:rsidRDefault="00000000" w:rsidRPr="00000000" w14:paraId="000000D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>
          <w:rFonts w:ascii="Nunito" w:cs="Nunito" w:eastAsia="Nunito" w:hAnsi="Nunito"/>
          <w:b w:val="1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>
          <w:rFonts w:ascii="Nunito" w:cs="Nunito" w:eastAsia="Nunito" w:hAnsi="Nunito"/>
          <w:b w:val="1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>
          <w:rFonts w:ascii="Nunito" w:cs="Nunito" w:eastAsia="Nunito" w:hAnsi="Nunito"/>
          <w:b w:val="1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>
          <w:rFonts w:ascii="Nunito" w:cs="Nunito" w:eastAsia="Nunito" w:hAnsi="Nunito"/>
          <w:b w:val="1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>
          <w:rFonts w:ascii="Nunito" w:cs="Nunito" w:eastAsia="Nunito" w:hAnsi="Nunito"/>
          <w:b w:val="1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>
          <w:rFonts w:ascii="Nunito" w:cs="Nunito" w:eastAsia="Nunito" w:hAnsi="Nunito"/>
          <w:b w:val="1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>
          <w:rFonts w:ascii="Nunito" w:cs="Nunito" w:eastAsia="Nunito" w:hAnsi="Nunito"/>
          <w:b w:val="1"/>
          <w:sz w:val="24"/>
          <w:szCs w:val="24"/>
          <w:shd w:fill="ffe599" w:val="clear"/>
        </w:rPr>
      </w:pPr>
      <w:r w:rsidDel="00000000" w:rsidR="00000000" w:rsidRPr="00000000">
        <w:rPr>
          <w:rFonts w:ascii="Nunito" w:cs="Nunito" w:eastAsia="Nunito" w:hAnsi="Nunito"/>
          <w:b w:val="1"/>
          <w:sz w:val="24"/>
          <w:szCs w:val="24"/>
          <w:shd w:fill="ffe599" w:val="clear"/>
          <w:rtl w:val="0"/>
        </w:rPr>
        <w:t xml:space="preserve">Guggenheim Museum, New York. 1943-46</w:t>
      </w:r>
    </w:p>
    <w:p w:rsidR="00000000" w:rsidDel="00000000" w:rsidP="00000000" w:rsidRDefault="00000000" w:rsidRPr="00000000" w14:paraId="000000DD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Tessitura che perimetra Central Park per valorizzazione della rendita fondiaria del luogo. Museo rivoluzionario. Si libera dei vincoli planimetrici. </w:t>
      </w:r>
    </w:p>
    <w:p w:rsidR="00000000" w:rsidDel="00000000" w:rsidP="00000000" w:rsidRDefault="00000000" w:rsidRPr="00000000" w14:paraId="000000DE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Si chiude alla città con accentuazione della volumetria dell’edificio. Cono raccordato alla maglia urbana di new york da fascia orizzontale. </w:t>
      </w:r>
    </w:p>
    <w:p w:rsidR="00000000" w:rsidDel="00000000" w:rsidP="00000000" w:rsidRDefault="00000000" w:rsidRPr="00000000" w14:paraId="000000DF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676275</wp:posOffset>
            </wp:positionH>
            <wp:positionV relativeFrom="page">
              <wp:posOffset>2159194</wp:posOffset>
            </wp:positionV>
            <wp:extent cx="2724619" cy="1846069"/>
            <wp:effectExtent b="0" l="0" r="0" t="0"/>
            <wp:wrapSquare wrapText="bothSides" distB="114300" distT="114300" distL="114300" distR="114300"/>
            <wp:docPr id="2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4619" cy="184606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>
          <w:rFonts w:ascii="Nunito" w:cs="Nunito" w:eastAsia="Nunito" w:hAnsi="Nunito"/>
          <w:u w:val="single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Sviluppo distributivo e volumetrico del museo: come se fossero due cilindri piramidali con vertici contrapposti. Logica della percezione delle sale espositive del museo. Ascensore che sale. spirale discendente, </w:t>
      </w: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funzione percettiva opere e sviluppo distributivo del museo integrati</w:t>
      </w:r>
      <w:r w:rsidDel="00000000" w:rsidR="00000000" w:rsidRPr="00000000">
        <w:rPr>
          <w:rFonts w:ascii="Nunito" w:cs="Nunito" w:eastAsia="Nunito" w:hAnsi="Nunito"/>
          <w:rtl w:val="0"/>
        </w:rPr>
        <w:t xml:space="preserve">: il percorso segue geometria di spirale discendente, </w:t>
      </w:r>
      <w:r w:rsidDel="00000000" w:rsidR="00000000" w:rsidRPr="00000000">
        <w:rPr>
          <w:rFonts w:ascii="Nunito" w:cs="Nunito" w:eastAsia="Nunito" w:hAnsi="Nunito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1188533</wp:posOffset>
            </wp:positionH>
            <wp:positionV relativeFrom="page">
              <wp:posOffset>3836680</wp:posOffset>
            </wp:positionV>
            <wp:extent cx="2211892" cy="1616382"/>
            <wp:effectExtent b="0" l="0" r="0" t="0"/>
            <wp:wrapSquare wrapText="bothSides" distB="114300" distT="114300" distL="114300" distR="114300"/>
            <wp:docPr id="1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1892" cy="161638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Nunito" w:cs="Nunito" w:eastAsia="Nunito" w:hAnsi="Nunito"/>
          <w:rtl w:val="0"/>
        </w:rPr>
        <w:t xml:space="preserve">non si fa percorso all’inverso ma </w:t>
      </w:r>
      <w:r w:rsidDel="00000000" w:rsidR="00000000" w:rsidRPr="00000000">
        <w:rPr>
          <w:rFonts w:ascii="Nunito" w:cs="Nunito" w:eastAsia="Nunito" w:hAnsi="Nunito"/>
          <w:u w:val="single"/>
          <w:rtl w:val="0"/>
        </w:rPr>
        <w:t xml:space="preserve">si va direttamente verso l’uscita. </w:t>
      </w:r>
    </w:p>
    <w:p w:rsidR="00000000" w:rsidDel="00000000" w:rsidP="00000000" w:rsidRDefault="00000000" w:rsidRPr="00000000" w14:paraId="000000E1">
      <w:pPr>
        <w:rPr>
          <w:rFonts w:ascii="Nunito" w:cs="Nunito" w:eastAsia="Nunito" w:hAnsi="Nunito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Due coni intrecciati con vertici rivolti verso alto e basso. Fruizione spazialità interna del museo rivoluzionaria.</w:t>
      </w:r>
    </w:p>
    <w:p w:rsidR="00000000" w:rsidDel="00000000" w:rsidP="00000000" w:rsidRDefault="00000000" w:rsidRPr="00000000" w14:paraId="000000E3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828675</wp:posOffset>
            </wp:positionH>
            <wp:positionV relativeFrom="page">
              <wp:posOffset>5187053</wp:posOffset>
            </wp:positionV>
            <wp:extent cx="2525240" cy="1926773"/>
            <wp:effectExtent b="0" l="0" r="0" t="0"/>
            <wp:wrapSquare wrapText="bothSides" distB="114300" distT="114300" distL="114300" distR="114300"/>
            <wp:docPr id="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5240" cy="192677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Nunito" w:cs="Nunito" w:eastAsia="Nunito" w:hAnsi="Nunito"/>
          <w:u w:val="single"/>
          <w:rtl w:val="0"/>
        </w:rPr>
        <w:t xml:space="preserve">Struttura a maglia che sostiene </w:t>
      </w:r>
      <w:r w:rsidDel="00000000" w:rsidR="00000000" w:rsidRPr="00000000">
        <w:rPr>
          <w:rFonts w:ascii="Nunito" w:cs="Nunito" w:eastAsia="Nunito" w:hAnsi="Nunito"/>
          <w:u w:val="single"/>
          <w:rtl w:val="0"/>
        </w:rPr>
        <w:t xml:space="preserve">aggetto</w:t>
      </w:r>
      <w:r w:rsidDel="00000000" w:rsidR="00000000" w:rsidRPr="00000000">
        <w:rPr>
          <w:rFonts w:ascii="Nunito" w:cs="Nunito" w:eastAsia="Nunito" w:hAnsi="Nunito"/>
          <w:u w:val="single"/>
          <w:rtl w:val="0"/>
        </w:rPr>
        <w:t xml:space="preserve"> del camminamento discendente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pareti di esposizione e </w:t>
      </w:r>
      <w:r w:rsidDel="00000000" w:rsidR="00000000" w:rsidRPr="00000000">
        <w:rPr>
          <w:rFonts w:ascii="Nunito" w:cs="Nunito" w:eastAsia="Nunito" w:hAnsi="Nunito"/>
          <w:rtl w:val="0"/>
        </w:rPr>
        <w:t xml:space="preserve">vetrature</w:t>
      </w:r>
      <w:r w:rsidDel="00000000" w:rsidR="00000000" w:rsidRPr="00000000">
        <w:rPr>
          <w:rFonts w:ascii="Nunito" w:cs="Nunito" w:eastAsia="Nunito" w:hAnsi="Nunito"/>
          <w:rtl w:val="0"/>
        </w:rPr>
        <w:t xml:space="preserve">. Anche qui intercapedine che contiene </w:t>
      </w:r>
    </w:p>
    <w:p w:rsidR="00000000" w:rsidDel="00000000" w:rsidP="00000000" w:rsidRDefault="00000000" w:rsidRPr="00000000" w14:paraId="000000E4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Pianta, sostenuta da 12 setti, rinuncia a uno di essi per foyer. </w:t>
      </w:r>
    </w:p>
    <w:p w:rsidR="00000000" w:rsidDel="00000000" w:rsidP="00000000" w:rsidRDefault="00000000" w:rsidRPr="00000000" w14:paraId="000000E7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rtl w:val="0"/>
        </w:rPr>
        <w:t xml:space="preserve">Copertura fonte di luce superiore, parete vetrata in ferro e vetro. </w:t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>
          <w:rFonts w:ascii="Nunito" w:cs="Nunito" w:eastAsia="Nunito" w:hAnsi="Nunito"/>
        </w:rPr>
      </w:pPr>
      <w:r w:rsidDel="00000000" w:rsidR="00000000" w:rsidRPr="00000000">
        <w:rPr>
          <w:rFonts w:ascii="Nunito" w:cs="Nunito" w:eastAsia="Nunito" w:hAnsi="Nunito"/>
          <w:b w:val="1"/>
          <w:rtl w:val="0"/>
        </w:rPr>
        <w:t xml:space="preserve">Broadacre City</w:t>
      </w:r>
      <w:r w:rsidDel="00000000" w:rsidR="00000000" w:rsidRPr="00000000">
        <w:rPr>
          <w:rFonts w:ascii="Nunito" w:cs="Nunito" w:eastAsia="Nunito" w:hAnsi="Nunito"/>
          <w:rtl w:val="0"/>
        </w:rPr>
        <w:t xml:space="preserve">, studio sulla città ideale</w:t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>
          <w:rtl w:val="0"/>
        </w:rPr>
        <w:t xml:space="preserve">. 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96839</wp:posOffset>
            </wp:positionH>
            <wp:positionV relativeFrom="paragraph">
              <wp:posOffset>114300</wp:posOffset>
            </wp:positionV>
            <wp:extent cx="3395663" cy="2504997"/>
            <wp:effectExtent b="0" l="0" r="0" t="0"/>
            <wp:wrapNone/>
            <wp:docPr id="1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95663" cy="250499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rPr>
          <w:rFonts w:ascii="Nunito" w:cs="Nunito" w:eastAsia="Nunito" w:hAnsi="Nunito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Nuni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it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7.png"/><Relationship Id="rId20" Type="http://schemas.openxmlformats.org/officeDocument/2006/relationships/image" Target="media/image11.png"/><Relationship Id="rId42" Type="http://schemas.openxmlformats.org/officeDocument/2006/relationships/image" Target="media/image10.png"/><Relationship Id="rId41" Type="http://schemas.openxmlformats.org/officeDocument/2006/relationships/image" Target="media/image2.png"/><Relationship Id="rId22" Type="http://schemas.openxmlformats.org/officeDocument/2006/relationships/image" Target="media/image28.png"/><Relationship Id="rId44" Type="http://schemas.openxmlformats.org/officeDocument/2006/relationships/image" Target="media/image1.png"/><Relationship Id="rId21" Type="http://schemas.openxmlformats.org/officeDocument/2006/relationships/image" Target="media/image16.png"/><Relationship Id="rId43" Type="http://schemas.openxmlformats.org/officeDocument/2006/relationships/image" Target="media/image41.png"/><Relationship Id="rId24" Type="http://schemas.openxmlformats.org/officeDocument/2006/relationships/image" Target="media/image39.png"/><Relationship Id="rId46" Type="http://schemas.openxmlformats.org/officeDocument/2006/relationships/image" Target="media/image5.png"/><Relationship Id="rId23" Type="http://schemas.openxmlformats.org/officeDocument/2006/relationships/image" Target="media/image35.png"/><Relationship Id="rId45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6.png"/><Relationship Id="rId26" Type="http://schemas.openxmlformats.org/officeDocument/2006/relationships/image" Target="media/image37.png"/><Relationship Id="rId48" Type="http://schemas.openxmlformats.org/officeDocument/2006/relationships/image" Target="media/image3.png"/><Relationship Id="rId25" Type="http://schemas.openxmlformats.org/officeDocument/2006/relationships/image" Target="media/image29.png"/><Relationship Id="rId47" Type="http://schemas.openxmlformats.org/officeDocument/2006/relationships/image" Target="media/image20.png"/><Relationship Id="rId28" Type="http://schemas.openxmlformats.org/officeDocument/2006/relationships/image" Target="media/image22.png"/><Relationship Id="rId27" Type="http://schemas.openxmlformats.org/officeDocument/2006/relationships/image" Target="media/image31.png"/><Relationship Id="rId5" Type="http://schemas.openxmlformats.org/officeDocument/2006/relationships/styles" Target="styles.xml"/><Relationship Id="rId6" Type="http://schemas.openxmlformats.org/officeDocument/2006/relationships/image" Target="media/image24.png"/><Relationship Id="rId29" Type="http://schemas.openxmlformats.org/officeDocument/2006/relationships/image" Target="media/image30.png"/><Relationship Id="rId7" Type="http://schemas.openxmlformats.org/officeDocument/2006/relationships/image" Target="media/image40.png"/><Relationship Id="rId8" Type="http://schemas.openxmlformats.org/officeDocument/2006/relationships/image" Target="media/image12.png"/><Relationship Id="rId31" Type="http://schemas.openxmlformats.org/officeDocument/2006/relationships/hyperlink" Target="http://architectuul.com/architecture/rose-pauson-house" TargetMode="External"/><Relationship Id="rId30" Type="http://schemas.openxmlformats.org/officeDocument/2006/relationships/image" Target="media/image34.png"/><Relationship Id="rId11" Type="http://schemas.openxmlformats.org/officeDocument/2006/relationships/image" Target="media/image8.png"/><Relationship Id="rId33" Type="http://schemas.openxmlformats.org/officeDocument/2006/relationships/image" Target="media/image32.png"/><Relationship Id="rId10" Type="http://schemas.openxmlformats.org/officeDocument/2006/relationships/image" Target="media/image33.png"/><Relationship Id="rId32" Type="http://schemas.openxmlformats.org/officeDocument/2006/relationships/image" Target="media/image18.png"/><Relationship Id="rId13" Type="http://schemas.openxmlformats.org/officeDocument/2006/relationships/image" Target="media/image27.png"/><Relationship Id="rId35" Type="http://schemas.openxmlformats.org/officeDocument/2006/relationships/hyperlink" Target="https://www.scjohnson.com/it-it/a-family-company/architecture-and-tours/frank-lloyd-wright/in-sc-johnsons-frank-lloyd-wright-designed-research-tower-architecture-meets-science" TargetMode="External"/><Relationship Id="rId12" Type="http://schemas.openxmlformats.org/officeDocument/2006/relationships/image" Target="media/image4.png"/><Relationship Id="rId34" Type="http://schemas.openxmlformats.org/officeDocument/2006/relationships/image" Target="media/image26.png"/><Relationship Id="rId15" Type="http://schemas.openxmlformats.org/officeDocument/2006/relationships/image" Target="media/image9.png"/><Relationship Id="rId37" Type="http://schemas.openxmlformats.org/officeDocument/2006/relationships/image" Target="media/image13.png"/><Relationship Id="rId14" Type="http://schemas.openxmlformats.org/officeDocument/2006/relationships/image" Target="media/image21.png"/><Relationship Id="rId36" Type="http://schemas.openxmlformats.org/officeDocument/2006/relationships/image" Target="media/image25.png"/><Relationship Id="rId17" Type="http://schemas.openxmlformats.org/officeDocument/2006/relationships/image" Target="media/image14.png"/><Relationship Id="rId39" Type="http://schemas.openxmlformats.org/officeDocument/2006/relationships/image" Target="media/image38.jpg"/><Relationship Id="rId16" Type="http://schemas.openxmlformats.org/officeDocument/2006/relationships/image" Target="media/image7.png"/><Relationship Id="rId38" Type="http://schemas.openxmlformats.org/officeDocument/2006/relationships/image" Target="media/image15.png"/><Relationship Id="rId19" Type="http://schemas.openxmlformats.org/officeDocument/2006/relationships/image" Target="media/image19.png"/><Relationship Id="rId18" Type="http://schemas.openxmlformats.org/officeDocument/2006/relationships/image" Target="media/image23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unito-regular.ttf"/><Relationship Id="rId2" Type="http://schemas.openxmlformats.org/officeDocument/2006/relationships/font" Target="fonts/Nunito-bold.ttf"/><Relationship Id="rId3" Type="http://schemas.openxmlformats.org/officeDocument/2006/relationships/font" Target="fonts/Nunito-italic.ttf"/><Relationship Id="rId4" Type="http://schemas.openxmlformats.org/officeDocument/2006/relationships/font" Target="fonts/Nuni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